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34E29" w14:textId="77777777" w:rsidR="00453008" w:rsidRDefault="00453008" w:rsidP="00453008">
      <w:pPr>
        <w:pStyle w:val="OZNRODZAKTUtznustawalubrozporzdzenieiorganwydajcy"/>
      </w:pPr>
    </w:p>
    <w:p w14:paraId="5A06071B" w14:textId="77777777" w:rsidR="006A242A" w:rsidRPr="006A242A" w:rsidRDefault="006A242A" w:rsidP="006A242A">
      <w:pPr>
        <w:pStyle w:val="OZNRODZAKTUtznustawalubrozporzdzenieiorganwydajcy"/>
      </w:pPr>
    </w:p>
    <w:p w14:paraId="64DD83AE" w14:textId="004243E8" w:rsidR="00453008" w:rsidRPr="00453008" w:rsidRDefault="00453008" w:rsidP="00453008">
      <w:pPr>
        <w:pStyle w:val="OZNRODZAKTUtznustawalubrozporzdzenieiorganwydajcy"/>
      </w:pPr>
      <w:r w:rsidRPr="00453008">
        <w:t>ROZPORZĄDZENIE</w:t>
      </w:r>
    </w:p>
    <w:p w14:paraId="3AA45A22" w14:textId="239F568D" w:rsidR="00453008" w:rsidRPr="00453008" w:rsidRDefault="00453008" w:rsidP="000805A4">
      <w:pPr>
        <w:pStyle w:val="OZNRODZAKTUtznustawalubrozporzdzenieiorganwydajcy"/>
      </w:pPr>
      <w:r w:rsidRPr="00453008">
        <w:t>MINISTRA ZDROWIA</w:t>
      </w:r>
      <w:r w:rsidR="006A242A">
        <w:rPr>
          <w:rStyle w:val="Odwoanieprzypisudolnego"/>
        </w:rPr>
        <w:footnoteReference w:id="1"/>
      </w:r>
      <w:r w:rsidR="006A242A">
        <w:rPr>
          <w:rStyle w:val="IGindeksgrny"/>
        </w:rPr>
        <w:t>)</w:t>
      </w:r>
    </w:p>
    <w:p w14:paraId="2127474E" w14:textId="1823644B" w:rsidR="00453008" w:rsidRPr="00453008" w:rsidRDefault="00453008" w:rsidP="000805A4">
      <w:pPr>
        <w:pStyle w:val="DATAAKTUdatauchwalenialubwydaniaaktu"/>
      </w:pPr>
      <w:r w:rsidRPr="00453008">
        <w:t xml:space="preserve">z dnia </w:t>
      </w:r>
      <w:r w:rsidR="003D3746">
        <w:t>16 marca</w:t>
      </w:r>
      <w:r w:rsidR="000805A4">
        <w:t xml:space="preserve"> </w:t>
      </w:r>
      <w:r w:rsidR="0043643E">
        <w:t xml:space="preserve">2020 </w:t>
      </w:r>
      <w:r w:rsidR="000805A4">
        <w:t>r.</w:t>
      </w:r>
    </w:p>
    <w:p w14:paraId="12DBE926" w14:textId="6873C7FE" w:rsidR="00453008" w:rsidRPr="00453008" w:rsidRDefault="00453008" w:rsidP="000805A4">
      <w:pPr>
        <w:pStyle w:val="TYTUAKTUprzedmiotregulacjiustawylubrozporzdzenia"/>
      </w:pPr>
      <w:r w:rsidRPr="00453008">
        <w:t>zmieniające</w:t>
      </w:r>
      <w:r w:rsidR="00B34481" w:rsidRPr="00B34481">
        <w:t xml:space="preserve"> rozporządzenie w sprawie świadczeń gwarantowanych z zakresu świadczeń pielęgnacyjnych</w:t>
      </w:r>
      <w:r w:rsidR="00B34481">
        <w:t xml:space="preserve"> </w:t>
      </w:r>
      <w:r w:rsidR="00B34481" w:rsidRPr="00B34481">
        <w:t>i opiekuńczych w ramach opieki długoterminowej</w:t>
      </w:r>
    </w:p>
    <w:p w14:paraId="1CD25753" w14:textId="1EAAE89A" w:rsidR="006A242A" w:rsidRDefault="006A242A" w:rsidP="000805A4">
      <w:pPr>
        <w:pStyle w:val="NIEARTTEKSTtekstnieartykuowanynppodstprawnarozplubpreambua"/>
      </w:pPr>
      <w:r w:rsidRPr="006A242A">
        <w:t xml:space="preserve">Na podstawie art. </w:t>
      </w:r>
      <w:r w:rsidR="00477C05">
        <w:t>31d</w:t>
      </w:r>
      <w:r w:rsidRPr="006A242A">
        <w:t xml:space="preserve"> ust. 2 ustawy z dnia 27 sierpnia 2004 r. o świadczeniach opieki zdrowotnej finansowanych ze środków publicznych (Dz. U. z 2019 r. poz. 1373, z późn. zm</w:t>
      </w:r>
      <w:r>
        <w:t>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 w:rsidRPr="006A242A">
        <w:t>) zarządza się, co następuje</w:t>
      </w:r>
      <w:r>
        <w:t>:</w:t>
      </w:r>
    </w:p>
    <w:p w14:paraId="4F927688" w14:textId="6B2155A3" w:rsidR="00DD5D66" w:rsidRDefault="00453008" w:rsidP="008E2B05">
      <w:pPr>
        <w:pStyle w:val="ARTartustawynprozporzdzenia"/>
      </w:pPr>
      <w:r w:rsidRPr="000805A4">
        <w:rPr>
          <w:rStyle w:val="Ppogrubienie"/>
        </w:rPr>
        <w:t>§ 1.</w:t>
      </w:r>
      <w:r w:rsidRPr="00453008">
        <w:t xml:space="preserve"> W rozporządzeniu</w:t>
      </w:r>
      <w:r w:rsidR="00275D70" w:rsidRPr="00275D70">
        <w:t xml:space="preserve"> </w:t>
      </w:r>
      <w:r w:rsidR="00B34481" w:rsidRPr="00B34481">
        <w:t>Ministra Zdrowia z dnia 22 listopada 2013 r. w sprawie świadczeń gwarantowanych z zakresu</w:t>
      </w:r>
      <w:r w:rsidR="00B34481">
        <w:t xml:space="preserve"> </w:t>
      </w:r>
      <w:r w:rsidR="00B34481" w:rsidRPr="00B34481">
        <w:t>świadczeń pielęgnacyjnych i opiekuńczych w ramach opieki długoterminowej (Dz. U. z 2015 r. poz. 1658</w:t>
      </w:r>
      <w:r w:rsidR="00B34481">
        <w:t xml:space="preserve"> oraz z 2019 r. poz. 2064</w:t>
      </w:r>
      <w:r w:rsidR="008E2B05">
        <w:t xml:space="preserve">) </w:t>
      </w:r>
      <w:r w:rsidR="000041E7">
        <w:t xml:space="preserve">w załączniku nr 4 w </w:t>
      </w:r>
      <w:r w:rsidR="005775DF">
        <w:t>l</w:t>
      </w:r>
      <w:r w:rsidR="000041E7">
        <w:t xml:space="preserve">p. 2 </w:t>
      </w:r>
      <w:bookmarkStart w:id="0" w:name="_Hlk35178787"/>
      <w:r w:rsidR="000041E7" w:rsidRPr="000041E7">
        <w:t>„</w:t>
      </w:r>
      <w:bookmarkEnd w:id="0"/>
      <w:r w:rsidR="000041E7" w:rsidRPr="000041E7">
        <w:t>Świadczenia udzielane</w:t>
      </w:r>
      <w:r w:rsidR="000041E7">
        <w:t xml:space="preserve"> </w:t>
      </w:r>
      <w:r w:rsidR="000041E7" w:rsidRPr="000041E7">
        <w:t>w warunkach domowych</w:t>
      </w:r>
      <w:r w:rsidR="000041E7">
        <w:t xml:space="preserve"> </w:t>
      </w:r>
      <w:r w:rsidR="000041E7" w:rsidRPr="000041E7">
        <w:t>przez zespół</w:t>
      </w:r>
      <w:r w:rsidR="000041E7">
        <w:t xml:space="preserve"> </w:t>
      </w:r>
      <w:r w:rsidR="000041E7" w:rsidRPr="000041E7">
        <w:t>długoterminowej opieki</w:t>
      </w:r>
      <w:r w:rsidR="000041E7">
        <w:t xml:space="preserve"> </w:t>
      </w:r>
      <w:r w:rsidR="000041E7" w:rsidRPr="000041E7">
        <w:t>domowej lub przez</w:t>
      </w:r>
      <w:r w:rsidR="000041E7">
        <w:t xml:space="preserve"> </w:t>
      </w:r>
      <w:r w:rsidR="000041E7" w:rsidRPr="000041E7">
        <w:t>pielęgniarską opiekę</w:t>
      </w:r>
      <w:r w:rsidR="000041E7">
        <w:t xml:space="preserve"> </w:t>
      </w:r>
      <w:r w:rsidR="000041E7" w:rsidRPr="000041E7">
        <w:t>długoterminową domową</w:t>
      </w:r>
      <w:bookmarkStart w:id="1" w:name="_Hlk35178796"/>
      <w:r w:rsidR="000041E7" w:rsidRPr="000041E7">
        <w:t>”</w:t>
      </w:r>
      <w:bookmarkEnd w:id="1"/>
      <w:r w:rsidR="0043643E">
        <w:t xml:space="preserve"> wprowadza się następujące zmiany</w:t>
      </w:r>
      <w:r w:rsidR="00DD5D66">
        <w:t>:</w:t>
      </w:r>
    </w:p>
    <w:p w14:paraId="03BC5DAD" w14:textId="264C0764" w:rsidR="00DD5D66" w:rsidRDefault="008E2B05" w:rsidP="008E2B05">
      <w:pPr>
        <w:pStyle w:val="PKTpunkt"/>
      </w:pPr>
      <w:r>
        <w:t>1)</w:t>
      </w:r>
      <w:r w:rsidR="0043643E">
        <w:tab/>
      </w:r>
      <w:r w:rsidR="000041E7">
        <w:t xml:space="preserve">w </w:t>
      </w:r>
      <w:r w:rsidR="00B41B40">
        <w:t xml:space="preserve">lit. </w:t>
      </w:r>
      <w:r w:rsidR="000041E7">
        <w:t xml:space="preserve">A </w:t>
      </w:r>
      <w:r w:rsidR="000041E7" w:rsidRPr="000041E7">
        <w:t>„Zespół długoterminowej opieki domowej dla dorosłych, dzieci i</w:t>
      </w:r>
      <w:r w:rsidR="000041E7">
        <w:t> </w:t>
      </w:r>
      <w:r w:rsidR="000041E7" w:rsidRPr="000041E7">
        <w:t>młodzieży wentylowanych mechanicznie”</w:t>
      </w:r>
      <w:r w:rsidR="00DD5D66">
        <w:t xml:space="preserve"> w </w:t>
      </w:r>
      <w:r w:rsidR="00B41B40">
        <w:t>części</w:t>
      </w:r>
      <w:r w:rsidR="00DD5D66" w:rsidRPr="00DD5D66">
        <w:t xml:space="preserve"> „Inne warunki udzielania świadczeń</w:t>
      </w:r>
      <w:bookmarkStart w:id="2" w:name="_Hlk35179271"/>
      <w:r w:rsidR="005775DF">
        <w:t xml:space="preserve"> gwarantowanych</w:t>
      </w:r>
      <w:r w:rsidR="00DD5D66" w:rsidRPr="00DD5D66">
        <w:t>”</w:t>
      </w:r>
      <w:bookmarkEnd w:id="2"/>
      <w:r w:rsidR="00DD5D66">
        <w:t xml:space="preserve"> </w:t>
      </w:r>
      <w:r w:rsidR="007235AF">
        <w:t xml:space="preserve">w pkt 4 kropkę zastępuję się średnikiem i </w:t>
      </w:r>
      <w:r w:rsidR="00DD5D66">
        <w:t>dodaje się pkt 5 w brzmieniu:</w:t>
      </w:r>
    </w:p>
    <w:p w14:paraId="67D6A74D" w14:textId="749BCF01" w:rsidR="00DD5D66" w:rsidRDefault="00DD5D66" w:rsidP="0043643E">
      <w:pPr>
        <w:pStyle w:val="ZPKTzmpktartykuempunktem"/>
      </w:pPr>
      <w:r w:rsidRPr="00DD5D66">
        <w:t>„</w:t>
      </w:r>
      <w:r>
        <w:t>5)</w:t>
      </w:r>
      <w:r>
        <w:tab/>
      </w:r>
      <w:r w:rsidR="007235AF">
        <w:t>d</w:t>
      </w:r>
      <w:r w:rsidRPr="00DD5D66">
        <w:t>opuszcza się realizację porad i wizyt z wykorzystaniem systemów teleinformatycznych lub innych systemów łączności, o ile ten sposób postępowania nie zagraża pogorszeniem stanu zdrowia świadczeniobiorcy.”</w:t>
      </w:r>
      <w:r w:rsidR="008E2B05">
        <w:t>;</w:t>
      </w:r>
    </w:p>
    <w:p w14:paraId="183527D6" w14:textId="7CCF3FCD" w:rsidR="00DD5D66" w:rsidRPr="00DD5D66" w:rsidRDefault="008E2B05" w:rsidP="008E2B05">
      <w:pPr>
        <w:pStyle w:val="PKTpunkt"/>
      </w:pPr>
      <w:r>
        <w:t>2)</w:t>
      </w:r>
      <w:r w:rsidR="0043643E">
        <w:tab/>
      </w:r>
      <w:r w:rsidR="00DD5D66">
        <w:t xml:space="preserve">w </w:t>
      </w:r>
      <w:r w:rsidR="00B41B40">
        <w:t>lit.</w:t>
      </w:r>
      <w:r w:rsidR="00DD5D66">
        <w:t xml:space="preserve"> B</w:t>
      </w:r>
      <w:r w:rsidR="00DD5D66" w:rsidRPr="00DD5D66">
        <w:t xml:space="preserve"> „Pielęgniarska opieka długoterminowa domowa” w </w:t>
      </w:r>
      <w:r w:rsidR="00B41B40">
        <w:t>części</w:t>
      </w:r>
      <w:r w:rsidR="00DD5D66" w:rsidRPr="00DD5D66">
        <w:t xml:space="preserve"> „Inne warunki udzielania świadczeń</w:t>
      </w:r>
      <w:r w:rsidR="00BA420C">
        <w:t xml:space="preserve"> gwarantowanych</w:t>
      </w:r>
      <w:r w:rsidR="00DD5D66" w:rsidRPr="00DD5D66">
        <w:t xml:space="preserve">” </w:t>
      </w:r>
      <w:r>
        <w:t xml:space="preserve">w pkt 5 kropkę zastępuję się średnikiem i </w:t>
      </w:r>
      <w:r w:rsidR="00DD5D66" w:rsidRPr="00DD5D66">
        <w:t xml:space="preserve">dodaje się pkt </w:t>
      </w:r>
      <w:r w:rsidR="00DD5D66">
        <w:t>6</w:t>
      </w:r>
      <w:r w:rsidR="00DD5D66" w:rsidRPr="00DD5D66">
        <w:t xml:space="preserve"> w brzmieniu:</w:t>
      </w:r>
    </w:p>
    <w:p w14:paraId="3124127C" w14:textId="456CACD3" w:rsidR="00DD5D66" w:rsidRPr="00DD5D66" w:rsidRDefault="00DD5D66" w:rsidP="0043643E">
      <w:pPr>
        <w:pStyle w:val="ZPKTzmpktartykuempunktem"/>
      </w:pPr>
      <w:r w:rsidRPr="00DD5D66">
        <w:lastRenderedPageBreak/>
        <w:t>„</w:t>
      </w:r>
      <w:r>
        <w:t>6</w:t>
      </w:r>
      <w:r w:rsidR="008E2B05">
        <w:t>)</w:t>
      </w:r>
      <w:r w:rsidR="008E2B05">
        <w:tab/>
        <w:t>d</w:t>
      </w:r>
      <w:r w:rsidRPr="00DD5D66">
        <w:t>opuszcza się realizację wizyt z wykorzystaniem systemów teleinformatycznych lub innych systemów łączności, o ile ten sposób postępowania nie zagraża pogorszeniem st</w:t>
      </w:r>
      <w:r w:rsidR="008E2B05">
        <w:t>anu zdrowia świadczeniobiorcy.”.</w:t>
      </w:r>
    </w:p>
    <w:p w14:paraId="3D596859" w14:textId="77462057" w:rsidR="00B41B40" w:rsidRDefault="00453008" w:rsidP="00B41B40">
      <w:pPr>
        <w:pStyle w:val="ARTartustawynprozporzdzenia"/>
      </w:pPr>
      <w:r w:rsidRPr="000805A4">
        <w:rPr>
          <w:rStyle w:val="Ppogrubienie"/>
        </w:rPr>
        <w:t>§ 2</w:t>
      </w:r>
      <w:r w:rsidR="000805A4" w:rsidRPr="000805A4">
        <w:rPr>
          <w:rStyle w:val="Ppogrubienie"/>
        </w:rPr>
        <w:t>.</w:t>
      </w:r>
      <w:r w:rsidR="00B41B40" w:rsidRPr="00B41B40">
        <w:t xml:space="preserve"> Wymienione w rozporządzeniu zmienianym w § 1</w:t>
      </w:r>
      <w:r w:rsidR="000805A4">
        <w:t>, w brzmieniu nadanym niniejszym rozporządzeniem,</w:t>
      </w:r>
      <w:r w:rsidR="00B41B40" w:rsidRPr="00B41B40">
        <w:t xml:space="preserve"> warunki realizacji świadczeń opieki zdrowotnej dotyczące:</w:t>
      </w:r>
    </w:p>
    <w:p w14:paraId="4E5EF141" w14:textId="31F1F9D8" w:rsidR="00B41B40" w:rsidRPr="00B41B40" w:rsidRDefault="00B41B40" w:rsidP="000805A4">
      <w:pPr>
        <w:pStyle w:val="PKTpunkt"/>
      </w:pPr>
      <w:r w:rsidRPr="00B41B40">
        <w:t>1)</w:t>
      </w:r>
      <w:r w:rsidR="0043643E">
        <w:tab/>
      </w:r>
      <w:r w:rsidRPr="00B41B40">
        <w:t>lekarza specjalisty spełnia również lekarz, który uzyskał potwierdzenie zakończenia szkolenia specjalizacyjnego, o którym mowa w art. 16r ust. 6 pkt 1 ustawy z dnia 5 grudnia 1996 r. o zawodach lekarza i</w:t>
      </w:r>
      <w:r w:rsidR="000805A4">
        <w:t xml:space="preserve"> lekarza dentysty (Dz. U. z 2019</w:t>
      </w:r>
      <w:r w:rsidRPr="00B41B40">
        <w:t xml:space="preserve"> r. poz. </w:t>
      </w:r>
      <w:r w:rsidR="000805A4">
        <w:t>537, 577, 730 i 1590 oraz z 2020 r. poz. 278</w:t>
      </w:r>
      <w:r w:rsidRPr="00B41B40">
        <w:t>), oraz lekarz, który ma uznany dorobek na podstawie art. 16 ust. 7 albo ust. 9 tej ustawy, oraz wystąpił do dyrektora Centrum Egzaminów Medycznych z wnioskiem o przystąpienie do Państwow</w:t>
      </w:r>
      <w:r w:rsidR="000805A4">
        <w:t xml:space="preserve">ego Egzaminu Specjalizacyjnego, zwanego dalej </w:t>
      </w:r>
      <w:r w:rsidR="000805A4" w:rsidRPr="008B2F6A">
        <w:t>„</w:t>
      </w:r>
      <w:r w:rsidR="000805A4">
        <w:t>PES</w:t>
      </w:r>
      <w:r w:rsidR="000805A4" w:rsidRPr="008B2F6A">
        <w:t>”</w:t>
      </w:r>
      <w:r w:rsidR="000805A4">
        <w:t xml:space="preserve">, </w:t>
      </w:r>
      <w:r w:rsidRPr="00B41B40">
        <w:t xml:space="preserve">w </w:t>
      </w:r>
      <w:r w:rsidR="004A2B94">
        <w:t xml:space="preserve">wiosennej </w:t>
      </w:r>
      <w:r w:rsidRPr="00B41B40">
        <w:t xml:space="preserve">sesji egzaminacyjnej </w:t>
      </w:r>
      <w:r w:rsidR="004A2B94">
        <w:t xml:space="preserve">w 2020 r. </w:t>
      </w:r>
      <w:r w:rsidRPr="00B41B40">
        <w:t xml:space="preserve">przedłużonej na podstawie § 27 ust. </w:t>
      </w:r>
      <w:bookmarkStart w:id="3" w:name="_GoBack"/>
      <w:bookmarkEnd w:id="3"/>
      <w:r w:rsidRPr="00B41B40">
        <w:t>3 rozporządzenia Ministra Zdrowia z dnia 29 marca 2019 r. w sprawie specjalizacji lekarzy i lekarzy dentystów (Dz. U. poz. 602 i 2129 oraz z 2020 r. poz. 421) i złożył z wynikiem pozytywnym część pisemną PES, nie dłużej jednak niż  do dnia wskazanego jako termin części ustnej PES wyznaczonego na podstawie § 27 ust. 5 rozporządzenia Ministra Zdrowia z dnia 29 marca 2019 r. w sprawie specjaliza</w:t>
      </w:r>
      <w:r w:rsidR="000805A4">
        <w:t>cji lekarzy i lekarzy dentystów;</w:t>
      </w:r>
    </w:p>
    <w:p w14:paraId="31B001C0" w14:textId="6E923ECF" w:rsidR="008E6E4D" w:rsidRDefault="00B41B40" w:rsidP="000805A4">
      <w:pPr>
        <w:pStyle w:val="PKTpunkt"/>
      </w:pPr>
      <w:r w:rsidRPr="00B41B40">
        <w:t>2)</w:t>
      </w:r>
      <w:r w:rsidR="0043643E">
        <w:tab/>
      </w:r>
      <w:r w:rsidRPr="00B41B40">
        <w:t>lekarza w trakcie specjalizacji spełnia również lekarz, który uzyskał potwierdzenie zakończenia szkolenia specjalizacyjnego, o którym mowa w art. 16r ust. 6 pkt 1 ustawy z dnia 5 grudnia 1996 r. o zawo</w:t>
      </w:r>
      <w:r w:rsidR="000805A4">
        <w:t>dach lekarza i lekarza dentysty</w:t>
      </w:r>
      <w:r w:rsidRPr="00B41B40">
        <w:t>, oraz lekarz, który ma uznany dorobek na podstawie art. 16 ust. 7 albo ust. 9 tej ustawy, oraz wystąpił do dyrektora Centrum Egzaminów Medycznych z wnioskiem o przystąpienie do PES w</w:t>
      </w:r>
      <w:r w:rsidR="004A2B94">
        <w:t xml:space="preserve"> wiosennej</w:t>
      </w:r>
      <w:r w:rsidRPr="00B41B40">
        <w:t xml:space="preserve"> sesji egzaminacyjnej</w:t>
      </w:r>
      <w:r w:rsidR="004A2B94">
        <w:t xml:space="preserve"> w 2020 r.</w:t>
      </w:r>
      <w:r w:rsidRPr="00B41B40">
        <w:t xml:space="preserve"> przedłużonej na podstawie § 27 ust. 3 rozporządzenia Ministra Zdrowia z dnia 29 marca 2019 r. w sprawie specjalizacji lekarzy i lekarzy dentystów, nie dłużej jednak niż  do dnia wskazanego jako termin PES wyznaczonego na podstawie § 27 ust. 5 rozporządzenia Ministra Zdrowia z dnia 29 marca 2019 r. w sprawie specjalizacji lekarzy i lekarzy dentystów.</w:t>
      </w:r>
    </w:p>
    <w:p w14:paraId="5D1FE478" w14:textId="29E5D7B7" w:rsidR="00453008" w:rsidRDefault="00453008" w:rsidP="00453008">
      <w:pPr>
        <w:pStyle w:val="ARTartustawynprozporzdzenia"/>
      </w:pPr>
      <w:r w:rsidRPr="000805A4">
        <w:rPr>
          <w:rStyle w:val="Ppogrubienie"/>
        </w:rPr>
        <w:t xml:space="preserve">§ </w:t>
      </w:r>
      <w:r w:rsidR="006419CB" w:rsidRPr="000805A4">
        <w:rPr>
          <w:rStyle w:val="Ppogrubienie"/>
        </w:rPr>
        <w:t>3</w:t>
      </w:r>
      <w:r w:rsidRPr="000805A4">
        <w:rPr>
          <w:rStyle w:val="Ppogrubienie"/>
        </w:rPr>
        <w:t>.</w:t>
      </w:r>
      <w:r w:rsidRPr="00453008">
        <w:t xml:space="preserve"> Rozporządzenie wchodzi w życie z dniem następującym po dniu ogłoszenia.</w:t>
      </w:r>
    </w:p>
    <w:p w14:paraId="4EF5B79D" w14:textId="77777777" w:rsidR="006A242A" w:rsidRDefault="006A242A" w:rsidP="00453008">
      <w:pPr>
        <w:pStyle w:val="ARTartustawynprozporzdzenia"/>
      </w:pPr>
    </w:p>
    <w:p w14:paraId="351C2A9C" w14:textId="1D4F8875" w:rsidR="006A242A" w:rsidRDefault="006A242A" w:rsidP="00B05300">
      <w:pPr>
        <w:pStyle w:val="NAZORGWYDnazwaorganuwydajcegoprojektowanyakt"/>
        <w:rPr>
          <w:lang w:eastAsia="en-US"/>
        </w:rPr>
      </w:pPr>
      <w:r w:rsidRPr="006A242A">
        <w:rPr>
          <w:lang w:eastAsia="en-US"/>
        </w:rPr>
        <w:t>MINISTER ZDROWIA</w:t>
      </w:r>
    </w:p>
    <w:p w14:paraId="5002D725" w14:textId="77777777" w:rsidR="006A242A" w:rsidRPr="00453008" w:rsidRDefault="006A242A" w:rsidP="00453008">
      <w:pPr>
        <w:pStyle w:val="ARTartustawynprozporzdzenia"/>
        <w:rPr>
          <w:lang w:eastAsia="en-US"/>
        </w:rPr>
      </w:pPr>
    </w:p>
    <w:p w14:paraId="1D19F76E" w14:textId="689AB665" w:rsidR="00261A16" w:rsidRDefault="006A242A" w:rsidP="006A242A">
      <w:pPr>
        <w:pStyle w:val="OZNRODZAKTUtznustawalubrozporzdzenieiorganwydajcy"/>
      </w:pPr>
      <w:r>
        <w:lastRenderedPageBreak/>
        <w:t>Uzasadnienie</w:t>
      </w:r>
    </w:p>
    <w:p w14:paraId="5B1EB1B3" w14:textId="007B408D" w:rsidR="00B05300" w:rsidRPr="00B05300" w:rsidRDefault="00B05300" w:rsidP="00B05300">
      <w:pPr>
        <w:pStyle w:val="NIEARTTEKSTtekstnieartykuowanynppodstprawnarozplubpreambua"/>
      </w:pPr>
      <w:r w:rsidRPr="00B05300">
        <w:t xml:space="preserve">Projekt rozporządzenia został przygotowany na podstawie upoważnienia zawartego w art. </w:t>
      </w:r>
      <w:r w:rsidR="008E6E4D">
        <w:t>31d</w:t>
      </w:r>
      <w:r w:rsidRPr="00B05300">
        <w:t xml:space="preserve"> </w:t>
      </w:r>
      <w:r w:rsidR="00586A9F">
        <w:t xml:space="preserve">ust. 2 </w:t>
      </w:r>
      <w:r w:rsidRPr="00B05300">
        <w:t>ustawy z dnia 27 sierpnia 2004 r. o świadczeniach opieki zdrowotnej finansowanych ze środków publicznych (Dz. U. z 2019 r. poz. 1373, z późn. zm.).</w:t>
      </w:r>
    </w:p>
    <w:p w14:paraId="439419F0" w14:textId="06D861F9" w:rsidR="00B05300" w:rsidRDefault="00B05300" w:rsidP="00B05300">
      <w:pPr>
        <w:pStyle w:val="NIEARTTEKSTtekstnieartykuowanynppodstprawnarozplubpreambua"/>
      </w:pPr>
      <w:r w:rsidRPr="00B05300">
        <w:t xml:space="preserve">Projektowane rozporządzenie wprowadza zmiany w rozporządzeniu Ministra Zdrowia </w:t>
      </w:r>
      <w:r w:rsidR="008E6E4D" w:rsidRPr="008E6E4D">
        <w:t>z</w:t>
      </w:r>
      <w:r w:rsidR="008E6E4D">
        <w:t> </w:t>
      </w:r>
      <w:r w:rsidR="008E6E4D" w:rsidRPr="008E6E4D">
        <w:t xml:space="preserve">dnia 29 października 2013 r. </w:t>
      </w:r>
      <w:r w:rsidR="00B41B40" w:rsidRPr="00B41B40">
        <w:t>w sprawie świadczeń gwarantowanych z zakresu świadczeń pielęgnacyjnych i opiekuńczych w ramach opieki długoterminowej (Dz. U. z 2015 r. po</w:t>
      </w:r>
      <w:r w:rsidR="007235AF">
        <w:t>z. 1658, z późn. zm.</w:t>
      </w:r>
      <w:r w:rsidR="00B41B40" w:rsidRPr="00B41B40">
        <w:t>)</w:t>
      </w:r>
      <w:r w:rsidR="00B41B40">
        <w:t>.</w:t>
      </w:r>
    </w:p>
    <w:p w14:paraId="3787964B" w14:textId="3EBF025A" w:rsidR="00771161" w:rsidRDefault="00771161" w:rsidP="00635702">
      <w:pPr>
        <w:pStyle w:val="ARTartustawynprozporzdzenia"/>
      </w:pPr>
      <w:r>
        <w:t xml:space="preserve">Rozporządzeniem </w:t>
      </w:r>
      <w:r w:rsidRPr="00771161">
        <w:t>Ministra Zdrowia z dnia 13 marca 2020 r. w sprawie ogłoszenia na obszarze Rzeczypospolitej</w:t>
      </w:r>
      <w:r>
        <w:t xml:space="preserve"> </w:t>
      </w:r>
      <w:r w:rsidRPr="00771161">
        <w:t>Polskiej stanu zagrożenia epidemicznego (Dz. U. poz. 433</w:t>
      </w:r>
      <w:r w:rsidR="00CF5267">
        <w:t xml:space="preserve"> i 441</w:t>
      </w:r>
      <w:r w:rsidRPr="00771161">
        <w:t>)</w:t>
      </w:r>
      <w:r>
        <w:t xml:space="preserve">, w </w:t>
      </w:r>
      <w:r w:rsidRPr="00771161">
        <w:t>okresie od dnia 14 marca 2020 r. do odwołania na obszarze Rzeczypospolitej Polskiej ogł</w:t>
      </w:r>
      <w:r>
        <w:t>o</w:t>
      </w:r>
      <w:r w:rsidRPr="00771161">
        <w:t>sz</w:t>
      </w:r>
      <w:r>
        <w:t xml:space="preserve">ony został </w:t>
      </w:r>
      <w:r w:rsidRPr="00771161">
        <w:t>stan zagrożenia epidemicznego w związku z zakażeniami wirusem SARS-CoV-2.</w:t>
      </w:r>
    </w:p>
    <w:p w14:paraId="35B6DD90" w14:textId="1011BF57" w:rsidR="00635702" w:rsidRPr="00635702" w:rsidRDefault="00635702" w:rsidP="00635702">
      <w:pPr>
        <w:pStyle w:val="ARTartustawynprozporzdzenia"/>
      </w:pPr>
      <w:r w:rsidRPr="00635702">
        <w:t>W celu zapobiegania lub ograniczenia szerzenia się zakażenia stosuje się działania opisane w</w:t>
      </w:r>
      <w:r w:rsidR="00771161">
        <w:t xml:space="preserve"> ww. rozporządzeniu oraz w</w:t>
      </w:r>
      <w:r w:rsidRPr="00635702">
        <w:t xml:space="preserve"> ustawie z dnia 2 marca 2020 r. o szczególnych rozwiązaniach związanych z zapobieganiem, przeciwdziałaniem i zwalczaniem COVID-19, innych chorób zakaźnych oraz wywołanych nimi sytuacji kryzysowych (Dz. U. poz. 374), zwanej dalej „ustawą”.</w:t>
      </w:r>
    </w:p>
    <w:p w14:paraId="12542D31" w14:textId="73C7149A" w:rsidR="006A242A" w:rsidRDefault="00635702" w:rsidP="00C35CD7">
      <w:pPr>
        <w:pStyle w:val="NIEARTTEKSTtekstnieartykuowanynppodstprawnarozplubpreambua"/>
        <w:tabs>
          <w:tab w:val="left" w:pos="5953"/>
        </w:tabs>
      </w:pPr>
      <w:r>
        <w:t>W związku z działaniami podejmowanymi na podstawie ww. ustawy proponuje się zmian</w:t>
      </w:r>
      <w:r w:rsidR="003E2B90">
        <w:t>y</w:t>
      </w:r>
      <w:r>
        <w:t xml:space="preserve"> </w:t>
      </w:r>
      <w:r w:rsidR="003E2B90">
        <w:t>zwiększające dostępność do świadczeń opieki zdrowotnej w warunkach zagrożenia epidemicznego</w:t>
      </w:r>
      <w:r>
        <w:t>.</w:t>
      </w:r>
    </w:p>
    <w:p w14:paraId="09F02953" w14:textId="77777777" w:rsidR="00635702" w:rsidRDefault="00635702" w:rsidP="00635702">
      <w:pPr>
        <w:pStyle w:val="ARTartustawynprozporzdzenia"/>
      </w:pPr>
      <w:r>
        <w:t>Projekt przewiduje:</w:t>
      </w:r>
    </w:p>
    <w:p w14:paraId="13B8E2B2" w14:textId="251F47CD" w:rsidR="00635702" w:rsidRPr="00635702" w:rsidRDefault="00635702" w:rsidP="007235AF">
      <w:pPr>
        <w:pStyle w:val="PKTpunkt"/>
      </w:pPr>
      <w:r>
        <w:t xml:space="preserve">1) </w:t>
      </w:r>
      <w:r w:rsidR="003E2B90">
        <w:t>możliwość</w:t>
      </w:r>
      <w:r w:rsidR="003E2B90" w:rsidRPr="003E2B90">
        <w:t xml:space="preserve"> realizacj</w:t>
      </w:r>
      <w:r w:rsidR="003E2B90">
        <w:t>i</w:t>
      </w:r>
      <w:r w:rsidR="003E2B90" w:rsidRPr="003E2B90">
        <w:t xml:space="preserve"> porad i wizyt z wykorzystaniem systemów teleinformatycznych lub innych systemów łączności, o ile ten sposób postępowania nie zagraża pogorszeniem stanu zdrowia świadczeniobiorcy</w:t>
      </w:r>
      <w:r w:rsidR="00CD386E">
        <w:t>;</w:t>
      </w:r>
    </w:p>
    <w:p w14:paraId="5B17B42D" w14:textId="0142C754" w:rsidR="00CD386E" w:rsidRDefault="00635702" w:rsidP="007235AF">
      <w:pPr>
        <w:pStyle w:val="PKTpunkt"/>
      </w:pPr>
      <w:r w:rsidRPr="00635702">
        <w:t>2)</w:t>
      </w:r>
      <w:r w:rsidRPr="00635702">
        <w:tab/>
      </w:r>
      <w:bookmarkStart w:id="4" w:name="_Hlk35180569"/>
      <w:r w:rsidR="003E2B90" w:rsidRPr="003E2B90">
        <w:t xml:space="preserve">zwiększenie </w:t>
      </w:r>
      <w:r w:rsidR="0043643E">
        <w:t>liczby</w:t>
      </w:r>
      <w:r w:rsidR="003E2B90" w:rsidRPr="003E2B90">
        <w:t xml:space="preserve"> lekarzy </w:t>
      </w:r>
      <w:r w:rsidR="00771161">
        <w:t>uprawnionych do udzielania</w:t>
      </w:r>
      <w:r w:rsidR="003E2B90" w:rsidRPr="003E2B90">
        <w:t xml:space="preserve"> świadczeń </w:t>
      </w:r>
      <w:r w:rsidR="003E2B90">
        <w:t xml:space="preserve">poprzez </w:t>
      </w:r>
      <w:r w:rsidR="00771161">
        <w:t xml:space="preserve">okresowe </w:t>
      </w:r>
      <w:r w:rsidR="003E2B90">
        <w:t>dopuszczenie do ich realizacji</w:t>
      </w:r>
      <w:r w:rsidR="00771161">
        <w:t xml:space="preserve"> </w:t>
      </w:r>
      <w:bookmarkEnd w:id="4"/>
      <w:r w:rsidR="00CD386E" w:rsidRPr="00CD386E">
        <w:t>lekarz</w:t>
      </w:r>
      <w:r w:rsidR="00CD386E">
        <w:t>y, którzy uzyskali</w:t>
      </w:r>
      <w:r w:rsidR="00CD386E" w:rsidRPr="00CD386E">
        <w:t xml:space="preserve"> potwierdzenie zakończenia szkolenia specjalizacyjnego, o którym mowa w art. 16r ust. 6 pkt 1 ustawy z dnia 5 grudnia 1996 r. o zawodach lekarza i</w:t>
      </w:r>
      <w:r w:rsidR="007235AF">
        <w:t xml:space="preserve"> lekarza dentysty (Dz. U. z 2019</w:t>
      </w:r>
      <w:r w:rsidR="00CD386E" w:rsidRPr="00CD386E">
        <w:t xml:space="preserve"> r. poz. </w:t>
      </w:r>
      <w:r w:rsidR="007235AF">
        <w:t>537, z późn. zm.</w:t>
      </w:r>
      <w:r w:rsidR="00CD386E" w:rsidRPr="00CD386E">
        <w:t>), oraz lekarz</w:t>
      </w:r>
      <w:r w:rsidR="00CD386E">
        <w:t>y</w:t>
      </w:r>
      <w:r w:rsidR="00CD386E" w:rsidRPr="00CD386E">
        <w:t>, któr</w:t>
      </w:r>
      <w:r w:rsidR="00CD386E">
        <w:t>z</w:t>
      </w:r>
      <w:r w:rsidR="00CD386E" w:rsidRPr="00CD386E">
        <w:t>y ma</w:t>
      </w:r>
      <w:r w:rsidR="00CD386E">
        <w:t>ją</w:t>
      </w:r>
      <w:r w:rsidR="00CD386E" w:rsidRPr="00CD386E">
        <w:t xml:space="preserve"> uznany dorobek na podstawie art. 16 ust. 7 albo ust. 9 tej ustawy, oraz wystąpi</w:t>
      </w:r>
      <w:r w:rsidR="00CD386E">
        <w:t>li</w:t>
      </w:r>
      <w:r w:rsidR="00CD386E" w:rsidRPr="00CD386E">
        <w:t xml:space="preserve"> do dyrektora Centrum Egzaminów Medycznych z wnioskiem o </w:t>
      </w:r>
      <w:r w:rsidR="00CD386E" w:rsidRPr="00CD386E">
        <w:lastRenderedPageBreak/>
        <w:t>przystąpienie do Państwow</w:t>
      </w:r>
      <w:r w:rsidR="007235AF">
        <w:t xml:space="preserve">ego Egzaminu Specjalizacyjnego, zwanego dalej </w:t>
      </w:r>
      <w:r w:rsidR="007235AF" w:rsidRPr="008B2F6A">
        <w:t>„</w:t>
      </w:r>
      <w:r w:rsidR="007235AF">
        <w:t>PES</w:t>
      </w:r>
      <w:r w:rsidR="007235AF" w:rsidRPr="008B2F6A">
        <w:t>”</w:t>
      </w:r>
      <w:r w:rsidR="007235AF">
        <w:t>,</w:t>
      </w:r>
      <w:r w:rsidR="00CD386E" w:rsidRPr="00CD386E">
        <w:t xml:space="preserve"> w </w:t>
      </w:r>
      <w:r w:rsidR="0070202B">
        <w:t xml:space="preserve">wiosennej </w:t>
      </w:r>
      <w:r w:rsidR="00CD386E" w:rsidRPr="00CD386E">
        <w:t xml:space="preserve">sesji egzaminacyjnej </w:t>
      </w:r>
      <w:r w:rsidR="0070202B">
        <w:t xml:space="preserve">w 2020 r. </w:t>
      </w:r>
      <w:r w:rsidR="00CD386E" w:rsidRPr="00CD386E">
        <w:t>przedłużonej na podstawie § 27 ust. 3 rozporządzenia Ministra Zdrowia z dnia 29 marca 2019 r. w sprawie specjalizacji lekarzy i lekarzy dentystów (Dz. U. poz. 602</w:t>
      </w:r>
      <w:r w:rsidR="007235AF">
        <w:t>, z późn. zm.</w:t>
      </w:r>
      <w:r w:rsidR="00CD386E" w:rsidRPr="00CD386E">
        <w:t>) i złoży</w:t>
      </w:r>
      <w:r w:rsidR="00CD386E">
        <w:t>li</w:t>
      </w:r>
      <w:r w:rsidR="00CD386E" w:rsidRPr="00CD386E">
        <w:t xml:space="preserve"> z wynikiem pozytywnym część pisemną PES, i traktowanie ich na równi z lekarzami </w:t>
      </w:r>
      <w:r w:rsidR="00CD386E">
        <w:t>specjalistami;</w:t>
      </w:r>
    </w:p>
    <w:p w14:paraId="50943304" w14:textId="0CCD4571" w:rsidR="00635702" w:rsidRPr="00635702" w:rsidRDefault="00CD386E" w:rsidP="007235AF">
      <w:pPr>
        <w:pStyle w:val="PKTpunkt"/>
      </w:pPr>
      <w:r>
        <w:t>3)</w:t>
      </w:r>
      <w:r>
        <w:tab/>
      </w:r>
      <w:r w:rsidRPr="00CD386E">
        <w:t xml:space="preserve">zwiększenie </w:t>
      </w:r>
      <w:r w:rsidR="0043643E">
        <w:t>liczby</w:t>
      </w:r>
      <w:r w:rsidRPr="00CD386E">
        <w:t xml:space="preserve"> lekarzy uprawni</w:t>
      </w:r>
      <w:r w:rsidR="007235AF">
        <w:t xml:space="preserve">onych do udzielania świadczeń </w:t>
      </w:r>
      <w:r w:rsidRPr="00CD386E">
        <w:t xml:space="preserve">przez okresowe dopuszczenie do ich realizacji </w:t>
      </w:r>
      <w:r w:rsidR="00771161">
        <w:t xml:space="preserve">lekarzy, którzy uzyskali </w:t>
      </w:r>
      <w:r w:rsidR="00771161" w:rsidRPr="00771161">
        <w:t>potwierdzenie zakończenia szkolenia specjalizacyjnego oraz lekarz</w:t>
      </w:r>
      <w:r>
        <w:t>y</w:t>
      </w:r>
      <w:r w:rsidR="00771161" w:rsidRPr="00771161">
        <w:t>, któr</w:t>
      </w:r>
      <w:r w:rsidR="00771161">
        <w:t xml:space="preserve">zy mają uznany </w:t>
      </w:r>
      <w:r w:rsidR="00771161" w:rsidRPr="00771161">
        <w:t>dorobek na podstawie art. 16 ust. 7 albo ust. 9 ustawy z dnia 5 grudnia 1996 r. o zawodach lekarza i le</w:t>
      </w:r>
      <w:r w:rsidR="007235AF">
        <w:t>karza dentysty</w:t>
      </w:r>
      <w:r w:rsidR="00771161" w:rsidRPr="00771161">
        <w:t>, oraz wystąpi</w:t>
      </w:r>
      <w:r w:rsidR="00771161">
        <w:t>li</w:t>
      </w:r>
      <w:r w:rsidR="00771161" w:rsidRPr="00771161">
        <w:t xml:space="preserve"> do dyrektora Centrum Egzaminów Medycznych z wnioskiem o przystąpienie do P</w:t>
      </w:r>
      <w:r>
        <w:t>ES</w:t>
      </w:r>
      <w:r w:rsidR="00461688">
        <w:t xml:space="preserve">, i traktowanie ich na równi z lekarzami w </w:t>
      </w:r>
      <w:r w:rsidR="00461688" w:rsidRPr="00461688">
        <w:t>trakcie specjalizacji</w:t>
      </w:r>
      <w:r w:rsidR="004E1482">
        <w:t>.</w:t>
      </w:r>
    </w:p>
    <w:p w14:paraId="068F8FAA" w14:textId="77777777" w:rsidR="00635702" w:rsidRPr="00635702" w:rsidRDefault="00635702" w:rsidP="00635702">
      <w:pPr>
        <w:pStyle w:val="ARTartustawynprozporzdzenia"/>
      </w:pPr>
      <w:r w:rsidRPr="00635702">
        <w:t xml:space="preserve">Zgodnie z art. 4 ust. 2 ustawy z dnia 20 lipca 2000 r. o ogłaszaniu aktów normatywnych i niektórych innych aktów prawnych (Dz. U. z 2019 r. poz. 1461) w uzasadnionych przypadkach akty normatywne mogą wchodzić w życie w terminie krótszym niż czternaście dni, a jeżeli ważny interes państwa wymaga natychmiastowego wejścia w życie aktu normatywnego i zasady demokratycznego państwa prawa nie stoją temu na przeszkodzie, dniem wejścia w życie może być dzień ogłoszenia tego aktu w dzienniku urzędowym. </w:t>
      </w:r>
    </w:p>
    <w:p w14:paraId="2D881B03" w14:textId="77777777" w:rsidR="00CD386E" w:rsidRDefault="00CD386E" w:rsidP="00B05300">
      <w:pPr>
        <w:pStyle w:val="ARTartustawynprozporzdzenia"/>
      </w:pPr>
      <w:r w:rsidRPr="00CD386E">
        <w:t>Przedłożony projekt przewiduje, iż rozporządzenie ma wejść w życie z dniem następującym po dniu ogłoszenia ze względu na cel jak najszybszego zapewnienia kadr medycznych w związku z zagrożeniem epidemicznym.</w:t>
      </w:r>
    </w:p>
    <w:p w14:paraId="17419F39" w14:textId="1527A8EC" w:rsidR="00B05300" w:rsidRPr="00B05300" w:rsidRDefault="00B05300" w:rsidP="00B05300">
      <w:pPr>
        <w:pStyle w:val="ARTartustawynprozporzdzenia"/>
      </w:pPr>
      <w:r w:rsidRPr="00B05300">
        <w:t>Projekt rozporządzenia nie jest objęty prawem Unii Europejskiej.</w:t>
      </w:r>
    </w:p>
    <w:p w14:paraId="4B85FBB6" w14:textId="77777777" w:rsidR="00B05300" w:rsidRPr="00B05300" w:rsidRDefault="00B05300" w:rsidP="00B05300">
      <w:pPr>
        <w:pStyle w:val="ARTartustawynprozporzdzenia"/>
      </w:pPr>
      <w:r w:rsidRPr="00B05300">
        <w:t>Projekt rozporządzenia nie podlega obowiązkowi przedstawienia właściwym organom i instytucjom Unii Europejskiej, w tym Europejskiemu Bankowi Centralnemu, w celu uzyskania opinii, dokonania powiadomienia, konsultacji albo uzgodnienia.</w:t>
      </w:r>
    </w:p>
    <w:p w14:paraId="6E16632F" w14:textId="64BBAA4D" w:rsidR="00B05300" w:rsidRPr="00B05300" w:rsidRDefault="00B05300" w:rsidP="00B05300">
      <w:pPr>
        <w:pStyle w:val="ARTartustawynprozporzdzenia"/>
      </w:pPr>
      <w:r w:rsidRPr="00B05300">
        <w:t>Projekt rozporządzenia nie będzie miał wpływu na działalność mikroprzedsiębiorców oraz małych i średnich przedsiębiorców</w:t>
      </w:r>
      <w:r w:rsidR="00582B14">
        <w:t>, poza lekarzami i innymi świadczeniodawcami, którzy będą mogli udzielać</w:t>
      </w:r>
      <w:r w:rsidR="00582B14" w:rsidRPr="00F8549C">
        <w:t xml:space="preserve"> </w:t>
      </w:r>
      <w:r w:rsidR="00582B14" w:rsidRPr="008B2F6A">
        <w:t>porad i wizyt z wykorzystaniem systemów teleinformatycznych lub innych systemów łączności</w:t>
      </w:r>
      <w:r w:rsidR="00582B14" w:rsidRPr="00B05300">
        <w:t>.</w:t>
      </w:r>
    </w:p>
    <w:p w14:paraId="6BE7FBC1" w14:textId="77777777" w:rsidR="00B05300" w:rsidRPr="00B05300" w:rsidRDefault="00B05300" w:rsidP="00B05300">
      <w:pPr>
        <w:pStyle w:val="ARTartustawynprozporzdzenia"/>
      </w:pPr>
      <w:r w:rsidRPr="00B05300">
        <w:t xml:space="preserve">Projektowane rozporządzenie nie zawiera przepisów technicznych w rozumieniu przepisów rozporządzenia Rady Ministrów z dnia 23 grudnia 2002 r. w sprawie sposobu </w:t>
      </w:r>
      <w:r w:rsidRPr="00B05300">
        <w:lastRenderedPageBreak/>
        <w:t>funkcjonowania krajowego systemu notyfikacji norm i aktów prawnych (Dz. U. poz. 2039, z późn. zm.) i w związku z tym nie podlega notyfikacji.</w:t>
      </w:r>
    </w:p>
    <w:p w14:paraId="6DFA6066" w14:textId="3DB21AB7" w:rsidR="00B05300" w:rsidRPr="00B05300" w:rsidRDefault="00B05300" w:rsidP="00B05300">
      <w:pPr>
        <w:pStyle w:val="ARTartustawynprozporzdzenia"/>
      </w:pPr>
      <w:r w:rsidRPr="00B05300">
        <w:t>Nie istnieją alternatywne środki w stosunku do projektowanego rozporządzenia umożliwiające osiągnięcie zamierzonego celu.</w:t>
      </w:r>
    </w:p>
    <w:sectPr w:rsidR="00B05300" w:rsidRPr="00B0530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B3AA0" w14:textId="77777777" w:rsidR="009A0402" w:rsidRDefault="009A0402">
      <w:r>
        <w:separator/>
      </w:r>
    </w:p>
  </w:endnote>
  <w:endnote w:type="continuationSeparator" w:id="0">
    <w:p w14:paraId="32674CDF" w14:textId="77777777" w:rsidR="009A0402" w:rsidRDefault="009A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4039C" w14:textId="77777777" w:rsidR="009A0402" w:rsidRDefault="009A0402">
      <w:r>
        <w:separator/>
      </w:r>
    </w:p>
  </w:footnote>
  <w:footnote w:type="continuationSeparator" w:id="0">
    <w:p w14:paraId="6A6697C8" w14:textId="77777777" w:rsidR="009A0402" w:rsidRDefault="009A0402">
      <w:r>
        <w:continuationSeparator/>
      </w:r>
    </w:p>
  </w:footnote>
  <w:footnote w:id="1">
    <w:p w14:paraId="7765D7BE" w14:textId="0A1D1C82" w:rsidR="006A242A" w:rsidRPr="006A242A" w:rsidRDefault="006A242A" w:rsidP="006A242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A242A">
        <w:t>Minister Zdrowia kieruje działem administracji rządowej – zdrowie, na podstawie § 1 ust. 2 rozporządzenia Prezesa Rady Ministrów z dnia 18 listopada 2019 r. w sprawie szczegółowego zakresu działania Ministra Zdrowia (Dz. U. poz. 2269).</w:t>
      </w:r>
    </w:p>
  </w:footnote>
  <w:footnote w:id="2">
    <w:p w14:paraId="49005339" w14:textId="6784E19C" w:rsidR="006A242A" w:rsidRPr="006A242A" w:rsidRDefault="006A242A" w:rsidP="006A242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A242A">
        <w:t>Zmiany tekstu jednolitego wymienionej ustawy zostały ogłoszone w Dz. U. z 2019 r. poz. 1394, 1590, 1694, 1726, 1818, 1905, 2020 i 2473.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B1018" w14:textId="26D0B31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D473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08"/>
    <w:rsid w:val="000012DA"/>
    <w:rsid w:val="0000246E"/>
    <w:rsid w:val="00003862"/>
    <w:rsid w:val="000041E7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5A4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E06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F63"/>
    <w:rsid w:val="00180F2A"/>
    <w:rsid w:val="00184B91"/>
    <w:rsid w:val="00184D4A"/>
    <w:rsid w:val="00186EC1"/>
    <w:rsid w:val="00191E1F"/>
    <w:rsid w:val="001937C4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14C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63CB"/>
    <w:rsid w:val="00261A16"/>
    <w:rsid w:val="00263522"/>
    <w:rsid w:val="00264EC6"/>
    <w:rsid w:val="00271013"/>
    <w:rsid w:val="00273FE4"/>
    <w:rsid w:val="00275D70"/>
    <w:rsid w:val="002765B4"/>
    <w:rsid w:val="00276A94"/>
    <w:rsid w:val="0029405D"/>
    <w:rsid w:val="00294FA6"/>
    <w:rsid w:val="00295A6F"/>
    <w:rsid w:val="002A0DBF"/>
    <w:rsid w:val="002A20C4"/>
    <w:rsid w:val="002A570F"/>
    <w:rsid w:val="002A6CB2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746"/>
    <w:rsid w:val="003D3867"/>
    <w:rsid w:val="003E0D1A"/>
    <w:rsid w:val="003E2B90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643E"/>
    <w:rsid w:val="00440C99"/>
    <w:rsid w:val="0044175C"/>
    <w:rsid w:val="00445F4D"/>
    <w:rsid w:val="004504C0"/>
    <w:rsid w:val="00453008"/>
    <w:rsid w:val="004550FB"/>
    <w:rsid w:val="0046111A"/>
    <w:rsid w:val="00461688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C05"/>
    <w:rsid w:val="00480A58"/>
    <w:rsid w:val="00482151"/>
    <w:rsid w:val="00485FAD"/>
    <w:rsid w:val="00487AED"/>
    <w:rsid w:val="00491EDF"/>
    <w:rsid w:val="00492A3F"/>
    <w:rsid w:val="004936AE"/>
    <w:rsid w:val="00494F62"/>
    <w:rsid w:val="004A2001"/>
    <w:rsid w:val="004A2B94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F93"/>
    <w:rsid w:val="004C7EE7"/>
    <w:rsid w:val="004D2DEE"/>
    <w:rsid w:val="004D2E1F"/>
    <w:rsid w:val="004D7FD9"/>
    <w:rsid w:val="004E1324"/>
    <w:rsid w:val="004E1482"/>
    <w:rsid w:val="004E19A5"/>
    <w:rsid w:val="004E21F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DF"/>
    <w:rsid w:val="00582B14"/>
    <w:rsid w:val="005835E7"/>
    <w:rsid w:val="0058397F"/>
    <w:rsid w:val="00583BF8"/>
    <w:rsid w:val="00583EBB"/>
    <w:rsid w:val="00585F33"/>
    <w:rsid w:val="00586A9F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4737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135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5702"/>
    <w:rsid w:val="006419CB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5950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42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02B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5AF"/>
    <w:rsid w:val="0072457F"/>
    <w:rsid w:val="00725406"/>
    <w:rsid w:val="0072621B"/>
    <w:rsid w:val="00730555"/>
    <w:rsid w:val="007312CC"/>
    <w:rsid w:val="007332D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161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41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2F6A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2B05"/>
    <w:rsid w:val="008E6E4D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0DE8"/>
    <w:rsid w:val="009332A2"/>
    <w:rsid w:val="0093737C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3B82"/>
    <w:rsid w:val="009A0402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0D7F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4FFC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270"/>
    <w:rsid w:val="00AF67FC"/>
    <w:rsid w:val="00AF7DF5"/>
    <w:rsid w:val="00B006E5"/>
    <w:rsid w:val="00B024C2"/>
    <w:rsid w:val="00B043D0"/>
    <w:rsid w:val="00B05300"/>
    <w:rsid w:val="00B07700"/>
    <w:rsid w:val="00B13921"/>
    <w:rsid w:val="00B1528C"/>
    <w:rsid w:val="00B16ACD"/>
    <w:rsid w:val="00B21487"/>
    <w:rsid w:val="00B232D1"/>
    <w:rsid w:val="00B24DB5"/>
    <w:rsid w:val="00B26693"/>
    <w:rsid w:val="00B31F9E"/>
    <w:rsid w:val="00B3268F"/>
    <w:rsid w:val="00B32C2C"/>
    <w:rsid w:val="00B33A1A"/>
    <w:rsid w:val="00B33E6C"/>
    <w:rsid w:val="00B34481"/>
    <w:rsid w:val="00B371CC"/>
    <w:rsid w:val="00B40131"/>
    <w:rsid w:val="00B41B40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420C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236F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CD7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386E"/>
    <w:rsid w:val="00CD46FA"/>
    <w:rsid w:val="00CD5973"/>
    <w:rsid w:val="00CE31A6"/>
    <w:rsid w:val="00CF09AA"/>
    <w:rsid w:val="00CF4813"/>
    <w:rsid w:val="00CF5233"/>
    <w:rsid w:val="00CF5267"/>
    <w:rsid w:val="00D00E6C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6B3D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D66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5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3EA9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653D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4FF2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45B08"/>
  <w15:docId w15:val="{56F117BE-6AFD-450A-8229-38B0A294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siur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AD3E41-5004-4E32-AD2A-22A9DB77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1223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Misiura Michał</dc:creator>
  <cp:lastModifiedBy>baj</cp:lastModifiedBy>
  <cp:revision>2</cp:revision>
  <cp:lastPrinted>2012-04-23T06:39:00Z</cp:lastPrinted>
  <dcterms:created xsi:type="dcterms:W3CDTF">2020-03-17T16:15:00Z</dcterms:created>
  <dcterms:modified xsi:type="dcterms:W3CDTF">2020-03-17T16:15:00Z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